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true"/>
        <w:bidi w:val="0"/>
        <w:spacing w:before="120" w:after="120"/>
        <w:ind w:left="6293" w:hanging="0"/>
        <w:jc w:val="right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Załącznik do Uchwały Nr </w:t>
        <w:br/>
        <w:t>Rady Gminy Zielonki</w:t>
        <w:br/>
        <w:t xml:space="preserve">z dnia </w:t>
      </w:r>
    </w:p>
    <w:p>
      <w:pPr>
        <w:pStyle w:val="Normal"/>
        <w:bidi w:val="0"/>
        <w:spacing w:before="120" w:after="120"/>
        <w:ind w:left="6293" w:hanging="0"/>
        <w:jc w:val="left"/>
        <w:rPr>
          <w:rFonts w:ascii="Verdana" w:hAnsi="Verdana" w:eastAsia="Times New Roman" w:cs="Times New Roman"/>
          <w:b w:val="false"/>
          <w:b w:val="false"/>
          <w:bCs w:val="false"/>
          <w:color w:val="000000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</w:r>
    </w:p>
    <w:p>
      <w:pPr>
        <w:pStyle w:val="Normal"/>
        <w:keepNext w:val="true"/>
        <w:bidi w:val="0"/>
        <w:spacing w:before="0" w:after="48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Program współpracy Gminy Zielonki</w:t>
        <w:br/>
        <w:t>z organizacjami pozarządowymi oraz podmiotami, o których mowa w art. 3 ust. 3</w:t>
        <w:br/>
        <w:t>ustawy z dnia 24 kwietnia 2003 r. o działalności pożytku publicznego i o wolontariacie na 2023 r.</w:t>
      </w:r>
    </w:p>
    <w:p>
      <w:pPr>
        <w:pStyle w:val="Normal"/>
        <w:bidi w:val="0"/>
        <w:spacing w:before="280" w:after="280"/>
        <w:jc w:val="center"/>
        <w:rPr>
          <w:rFonts w:ascii="Verdana" w:hAnsi="Verdana"/>
          <w:b w:val="false"/>
          <w:b w:val="false"/>
          <w:bCs w:val="false"/>
          <w:i w:val="false"/>
          <w:i w:val="false"/>
          <w:i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24"/>
          <w:szCs w:val="24"/>
        </w:rPr>
        <w:t>Preambuła</w:t>
        <w:br/>
        <w:t>Program ten został opracowany przez samorząd i partnerów społecznych z uwzględnieniem doświadczeń wynikających z dotychczasowej współpracy, analizy potrzeb organizacji społecznych oraz chęci stałego udoskonalania współpracy samorządu Gminy Zielonki z lokalnym sektorem organizacji pozarządowych.</w:t>
        <w:br/>
        <w:t>Pogłębia on kierunki wyznaczone w Strategii Rozwoju Gminy Zielonki na lata 2021-2030 i nadaje ramy współpracy w 2023 r. Tworzy również warunki dla realizacji konstytucyjnej zasady pomocniczości i rozwoju społeczeństwa obywatelskiego.</w:t>
      </w:r>
    </w:p>
    <w:p>
      <w:pPr>
        <w:pStyle w:val="Normal"/>
        <w:keepNext w:val="true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1.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Postanowienia ogólne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Ilekroć w Programie jest mowa o: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1)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ustawie - rozumie się przez to ustawę z dnia 24 kwietnia 2003 r. o działalności pożytku publicznego i o wolontariacie (tekst jednolity Dz. U. z 2022 r. poz. 1327 z późn. zm.),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2)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Programie - rozumie się przez to niniejszy Program współpracy Gminy Zielonki z organizacjami pozarządowymi oraz podmiotami, o których mowa w art. 3 ust. 3 ustawy z dnia 24 kwietnia 2003 r. o działalności pożytku publicznego i o wolontariacie na 2023 r.,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3)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podmiotach Programu - rozumie się przez to organizacje pozarządowe oraz podmioty wymienione w art. 3 ust. 3 ustawy,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4)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dotacji - rozumie się przez to dotację w rozumieniu art. 2 pkt 1) ustawy,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5)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konkursie - rozumie się przez to otwarty konkurs ofert, o którym mowa w art. 11 ust. 2 oraz w art. 13 ustawy,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6)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gminie - rozumie się przez to Gminę Zielonki,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7)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wójcie - rozumie się przez to Wójta Gminy Zielonki, 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8)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radzie gminy - rozumie się przez to Radę Gminy Zielonki,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9)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stronie internetowej gminy - rozumie się przez to adres strony internetowej Gminy Zielonki </w:t>
      </w:r>
      <w:r>
        <w:rPr>
          <w:rFonts w:eastAsia="Times New Roman" w:cs="Times New Roman" w:ascii="Verdana" w:hAnsi="Verdana"/>
          <w:b w:val="false"/>
          <w:bCs w:val="false"/>
          <w:i/>
          <w:color w:val="000000"/>
          <w:sz w:val="24"/>
          <w:szCs w:val="24"/>
        </w:rPr>
        <w:t>www.zielonki.pl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10)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komisji - rozumie się przez to komisję konkursową w rozumieniu art. 15 ust. 2a ustawy.</w:t>
      </w:r>
    </w:p>
    <w:p>
      <w:pPr>
        <w:pStyle w:val="Normal"/>
        <w:keepNext w:val="true"/>
        <w:bidi w:val="0"/>
        <w:jc w:val="center"/>
        <w:rPr>
          <w:rFonts w:ascii="Verdana" w:hAnsi="Verdan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2.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Cel główny i cele szczegółowe Programu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Celem głównym Programu jest budowanie kapitału społecznego i partnerskich relacji między samorządem, a zorganizowanymi grupami mieszkańców, które pozwolą na efektywne i skuteczne diagnozowanie, a następnie zaspokajanie zbiorowych potrzeb mieszkańców gminy.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3.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Cel główny, o którym mowa w § 2 zostanie zrealizowany poprzez następujące cele szczegółowe: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rozwój i rozszerzanie form współpracy gminy z podmiotami Programu na rzecz szerszego zaspokajania potrzeb oraz poprawy warunków i podnoszenia poziomu życia mieszkańców gminy,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zwiększenie zaangażowania mieszkańców gminy w życie publiczne, w tym w rozwiązywanie problemów lokalnych,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kształtowanie lokalnego społeczeństwa obywatelskiego, a także wspomaganie społeczności lokalnych poprzez: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organizowanie i wspieranie działań społecznych oraz inicjatyw obywatelskich na rzecz rozwoju gminy,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promocję postaw obywatelskich, prospołecznych i prorodzinnych,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rozwijanie poczucia przynależności do społeczności lokalnej gminy poprzez tworzenie warunków do zwiększania aktywności obywatelskiej mieszkańców gminy, budowę więzi społecznych,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d)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przeciwdziałanie dyskryminacji i wykluczeniom społecznym,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wspieranie aktywności społecznej mieszkańców gminy w procesie rozwiązywania problemów,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szersze uspołecznienie procesów decyzyjnych i wykonawczych oraz zwiększenie udziału podmiotów Programu w realizacji zadań publicznych,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6)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stworzenie warunków do powstania inicjatyw i struktur funkcjonujących na rzecz społeczności lokalnej,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7)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otwarcie na innowacyjność i konkurencyjność poprzez umożliwienie podmiotom Programu indywidualnego wystąpienia z ofertą realizacji projektów konkretnych zadań publicznych.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Cel główny i cele szczegółowe Programu mogą być realizowane poprzez: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podejmowanie wspólnych działań na rzecz diagnozowania problemów i potrzeb mieszkańców,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nawiązywanie bliższej współpracy z podmiotami Programu prowadzącymi działalność pożytku publicznego,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wypracowywanie sprawnego systemu przepływu informacji o aktualnie obowiązujących przepisach prawnych oraz źródłach i zasadach pozyskiwania środków na realizację programów,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współpracę przy organizacji akcji charytatywnych i imprez plenerowych,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upowszechnianie informacji o pozagminnych źródłach finansowania,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6)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udzielanie rekomendacji podmiotom Programu współpracującym z gminą, które ubiegają się o dofinansowanie ze źródeł pozagminnych,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7)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organizowanie konsultacji i szkoleń,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8)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pomoc w nawiązywaniu kontaktów podmiotom Programu w skali lokalnej i regionalnej,</w:t>
      </w:r>
    </w:p>
    <w:p>
      <w:pPr>
        <w:pStyle w:val="Normal"/>
        <w:bidi w:val="0"/>
        <w:spacing w:before="120" w:after="120"/>
        <w:ind w:left="113" w:hanging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9)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tworzenie funduszu "grantowego" jako wsparcia dla podmiotów Programu w procesie pozyskiwania pozagminnych środków finansowych,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10)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podnoszenie standardów realizacji zadań przez podmioty Programu poprzez współpracę i wsparcie organów gminy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wsparcie gminy dla podejmowanych przez podmioty Programu inicjatyw i wykorzystywanie dostępnych procedur służących ich skutecznej realizacji,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powierzanie i wspieranie przez gminę realizacji zadań publicznych podmiotom Programu z zakresu określonego w art. 4 ust. 1 ustawy.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Realizacja celu głównego, o którym mowa w § 2. programu jest jednym z elementów niezbędnych do realizacji celu nadrzędnego, zdefiniowanego w Strategii Rozwoju Gminy Zielonki</w:t>
      </w:r>
      <w:r>
        <w:rPr>
          <w:rFonts w:eastAsia="Times New Roman" w:cs="Times New Roman" w:ascii="Verdana" w:hAnsi="Verdana"/>
          <w:b w:val="false"/>
          <w:bCs w:val="false"/>
          <w:i w:val="false"/>
          <w:iCs w:val="false"/>
          <w:color w:val="000000"/>
          <w:sz w:val="24"/>
          <w:szCs w:val="24"/>
        </w:rPr>
        <w:t xml:space="preserve"> na lata 2021-2030.</w:t>
      </w:r>
    </w:p>
    <w:p>
      <w:pPr>
        <w:pStyle w:val="Normal"/>
        <w:keepNext w:val="true"/>
        <w:keepLines/>
        <w:bidi w:val="0"/>
        <w:jc w:val="center"/>
        <w:rPr>
          <w:rFonts w:ascii="Verdana" w:hAnsi="Verdan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3.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Zasady współpracy gminy z podmiotami Programu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4.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Współpraca gminy z podmiotami Programu odbywa się na zasadach: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1)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efektywności - gmina i podmioty Programu dążą do osiągania wspólnie określonych celów, podnoszenia efektów w zakresie wzajemnej współpracy oraz minimalizacji kosztów z tym związanych,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2)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jawności - gmina i podmioty Programu dążą do zachowania przejrzystości i transparentności podejmowanych działań oraz dostępu do informacji o warunkach współpracy, własnej działalności, realizowanych projektach, pozyskanych środkach finansowych, wewnętrznych zmianach itp.,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3)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legalności - wszystkie działania gminy i podmiotów Programu odbywają się z poszanowaniem przepisów prawa,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4)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partnerstwa - gmina i podmioty Programu podejmują działania we współpracy opartej na wzajemnym szacunku, zaufaniu i uznaniu równorzędności stron,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5)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pomocniczości - gmina poszerza zakres zadań zlecanych podmiotom Programu oraz wspiera ich działania w zakresie, jaki jest niezbędny do ich efektywnej realizacji,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6)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suwerenności stron - gmina gwarantuje niezależność, równość oraz autonomię podmiotom Programu, w granicach przyznanych przez prawo,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7)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uczciwej konkurencji - gmina podejmuje działania opierające się na równych i obiektywnych dla wszystkich podmiotów Programu kryteriach.</w:t>
      </w:r>
    </w:p>
    <w:p>
      <w:pPr>
        <w:pStyle w:val="Normal"/>
        <w:keepNext w:val="true"/>
        <w:bidi w:val="0"/>
        <w:jc w:val="center"/>
        <w:rPr>
          <w:rFonts w:ascii="Verdana" w:hAnsi="Verdan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4.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Zakres podmiotowy i przedmiotowy współpracy gminy z podmiotami Programu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5.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Podmiotami współpracy są: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podmioty Programu,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rada gminy oraz jej komisje, w zakresie: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uchwalenia rocznego programu współpracy z organizacjami pozarządowymi,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kreowania kierunków współpracy gminy z podmiotami Programu,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utrzymywania kontaktów z przedstawicielami podmiotów Programu (zapraszania na posiedzenia komisji rady gminy, stosownie do omawianych spraw – z głosem doradczym),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d)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określenia uchwałą środków finansowych przeznaczonych na realizację Programu;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wójt, jako realizator Programu w zakresie: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organizacji konkursów,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rozliczania i kontrolowania podmiotów Programu z merytorycznego i finansowego wykonania zadań publicznych,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utrzymywania bieżących kontaktów pomiędzy gminą, a podmiotami Programu,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d)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wyznaczenia komórek organizacyjnych i pracowników będących koordynatorami do spraw współpracy z podmiotami Programu, wraz z określeniem ich obowiązków;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komisja, w zakresie opiniowania i oceny złożonych ofert przez podmioty Programu na realizację zadania publicznego;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jednostki organizacyjne gminy, w zakresie zadań będących przedmiotem ich działalności oraz organizacji konkursów.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Przedmiotem współpracy gminy z podmiotami Programu jest: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tworzenie rozwiązań w zakresie współpracy gminy z podmiotami Programu,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określanie potrzeb lokalnych i sposobu ich zaspokajania,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realizacja zadań gminy w sferze zadań pożytku publicznego,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współudział podmiotów Programu w realizacji zadań własnych gminy.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6.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Współpraca gminy z podmiotami Programu obejmuje wspólne realizowanie zadań publicznych, określonych w art. 4 ust. 1 ustawy.</w:t>
      </w:r>
    </w:p>
    <w:p>
      <w:pPr>
        <w:pStyle w:val="Normal"/>
        <w:keepNext w:val="true"/>
        <w:keepLines/>
        <w:bidi w:val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5.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Priorytetowe zadania publiczne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7.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Zadaniami publicznymi wspierającymi realizację zadań własnych gminy w roku 2023 są zadania z zakresu: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kultury fizycznej i sportu: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upowszechnianie kultury fizycznej i sportu wśród mieszkańców gminy,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organizowanie i prowadzenie szkolenia sportowego dzieci i młodzieży,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organizowanie imprez sportowo - rekreacyjnych,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d)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tworzenie warunków do rozwoju różnych dyscyplin sportowych;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przeciwdziałania uzależnieniom: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organizacja wypoczynku i czasu wolnego dla dzieci i młodzieży ze środowisk zagrożonych patologią społeczną,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edukacja i wychowanie dzieci i młodzieży, mające na celu poprawę ich bezpieczeństwa i przeciwdziałanie uzależnieniom,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edukacja i promocja zdrowego stylu życia wśród dzieci, młodzieży i dorosłych;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kultury i sztuki, ochrony dóbr kultury i tradycji: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współorganizowanie wydarzeń kulturalnych,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wspieranie amatorskiego ruchu artystycznego,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wspieranie wszelkich form edukacji kulturalnej dzieci, młodzieży i dorosłych,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d)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ochrona dziedzictwa kulturowego,</w:t>
      </w:r>
    </w:p>
    <w:p>
      <w:pPr>
        <w:pStyle w:val="Normal"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e) realizacja przedsięwzięć z zakresu propagowania zwyczajów i obrzędów ludowych na terenie Gminy Zielonki,</w:t>
      </w:r>
      <w:r>
        <w:rPr>
          <w:rFonts w:eastAsia="Times New Roman" w:cs="Times New Roman" w:ascii="Verdana" w:hAnsi="Verdana"/>
          <w:b w:val="false"/>
          <w:bCs w:val="false"/>
          <w:color w:val="C9211E"/>
          <w:sz w:val="24"/>
          <w:szCs w:val="24"/>
        </w:rPr>
        <w:t xml:space="preserve"> 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ekologii i ochrony zwierząt  oraz ochrony środowiska przyrodniczego: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edukacja ekologiczna mieszkańców gminy, w szczególności dzieci i młodzieży oraz włączanie ich do działań o charakterze ekologicznym,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promowanie estetycznego otoczenia posesji,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wspieranie akcji proekologicznych;</w:t>
      </w:r>
    </w:p>
    <w:p>
      <w:pPr>
        <w:pStyle w:val="Normal"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d) zapobieganie bezdomności zwierząt na terenie Gminy Zielonki (czipowanie zwierząt, odławianie) oraz ograniczenie populacji bezdomnych zwierząt (m.in. sterylizacja),</w:t>
      </w:r>
    </w:p>
    <w:p>
      <w:pPr>
        <w:pStyle w:val="Normal"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e) zapewnienie opieki bezdomnym zwierzętom,</w:t>
      </w:r>
    </w:p>
    <w:p>
      <w:pPr>
        <w:pStyle w:val="Normal"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f) wspieranie adopcji zwierząt,</w:t>
      </w:r>
    </w:p>
    <w:p>
      <w:pPr>
        <w:pStyle w:val="Normal"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g) edukacja w zakresie utrzymania domowych zwierząt oraz propagowanie prawidłowych postaw wobec zwierząt i ich ochrony,</w:t>
      </w:r>
    </w:p>
    <w:p>
      <w:pPr>
        <w:pStyle w:val="Normal"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h) wspierania działań mających na celu przeciwdziałanie migracji dzikiej zwierzyny na tereny zurbanizowane.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nauki, edukacji, oświaty i wychowania: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organizowanie zajęć świetlicowych,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wspieranie i promocja wartościowych przedsięwzięć naukowych, edukacyjnych, oświatowych i wychowawczych,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promocja idei "uczenia się przez całe życie";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6)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przeciwdziałanie wykluczeniu społecznemu: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wspieranie działań na rzecz osób niepełnosprawnych i rodzin wielodzietnych,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działania na rzecz integracji zawodowej i społecznej osób zagrożonych wykluczeniem społecznym;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7)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turystyki i wypoczynku ze szczególnym uwzględnieniem tworzenia warunków do rozwoju turystyki i rekreacji;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8) ochrony i promocji zdrowia:</w:t>
      </w:r>
    </w:p>
    <w:p>
      <w:pPr>
        <w:pStyle w:val="Normal"/>
        <w:bidi w:val="0"/>
        <w:spacing w:before="120" w:after="120"/>
        <w:ind w:left="340" w:hanging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a) profilaktyczne akcje z zakresu wczesnego wykrywania chorób,</w:t>
      </w:r>
    </w:p>
    <w:p>
      <w:pPr>
        <w:pStyle w:val="Normal"/>
        <w:bidi w:val="0"/>
        <w:spacing w:before="120" w:after="120"/>
        <w:ind w:left="340" w:hanging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b) promocja zdrowego odżywiania i zapobieganie zaburzeniom odżywiania,</w:t>
      </w:r>
    </w:p>
    <w:p>
      <w:pPr>
        <w:pStyle w:val="Normal"/>
        <w:bidi w:val="0"/>
        <w:spacing w:before="120" w:after="120"/>
        <w:ind w:left="340" w:hanging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c) promocja honorowego dawstwa krwi, szpiku,</w:t>
      </w:r>
    </w:p>
    <w:p>
      <w:pPr>
        <w:pStyle w:val="Normal"/>
        <w:bidi w:val="0"/>
        <w:spacing w:before="120" w:after="120"/>
        <w:ind w:left="340" w:hanging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d) promocja zdrowia podczas wydarzeń o charakterze prozdrowotnym organizowanych w przestrzeni  publicznej,</w:t>
      </w:r>
    </w:p>
    <w:p>
      <w:pPr>
        <w:pStyle w:val="Normal"/>
        <w:bidi w:val="0"/>
        <w:spacing w:before="120" w:after="120"/>
        <w:ind w:left="340" w:hanging="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e) działania mające na celu poprawę jakości życia i poczucia bezpieczeństwa zdrowotnego osób starszych.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9)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pomocy społecznej: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pomocy rodzinom i osobom znajdującym się w trudnej sytuacji życiowej,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pomocy ofiarom katastrof i klęsk żywiołowych;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10)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promocji zatrudnienia i aktywizacji zawodowej osób pozostających bez pracy oraz zagrożonych zwolnieniem z pracy, ze szczególnym uwzględnieniem: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szkoleń aktywizacyjnych dla bezrobotnych,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szkoleń z nowych technologii (w tym kursów komputerowych) oraz przedsiębiorczości;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działalności wspomagających rozwój wspólnot i społeczności lokalnych, ze szczególnym uwzględnieniem: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wspierania lokalnych grup aktywności społecznej,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organizacji imprez plenerowych,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pobudzania integracji międzypokoleniowej,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d)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aktywizacji osób powyżej pięćdziesiątego roku życia,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e)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wspierania rozwoju wolontariatu;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podtrzymywania i upowszechniania tradycji narodowej, pielęgnowania polskości oraz rozwoju świadomości narodowej, obywatelskiej i kulturowej, ze szczególnym uwzględnieniem upamiętniania wydarzeń historycznych;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13)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działalności na rzecz podmiotów Programu, ze szczególnym uwzględnieniem wspierania finansowego ich wkładu własnego w celu pozyskania środków finansowych ze źródeł pozagminnych.</w:t>
      </w:r>
    </w:p>
    <w:p>
      <w:pPr>
        <w:pStyle w:val="Normal"/>
        <w:keepNext w:val="true"/>
        <w:bidi w:val="0"/>
        <w:jc w:val="center"/>
        <w:rPr>
          <w:rFonts w:ascii="Verdana" w:hAnsi="Verdan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6.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Formy współpracy gminy z podmiotami Programu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8.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Gmina podejmuje współpracę z podmiotami Programu w formach: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finansowych - poprzez wspieranie lub powierzanie podmiotom Programu zadań finansowanych z budżetu gminy, na zasadach określonych w ustawie lub w ustawie z dnia 11 września 2019 r. Prawo zamówień publicznych, zgodnie z przepisami ustawy o finansach publicznych;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pozafinansowych, tj.: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a)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wzajemnego informowania się o planowanych kierunkach działalności i współdziałania w celu zharmonizowania tych kierunków,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b)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konsultowania z podmiotami Programu, odpowiednio do zakresu ich działania, projektów aktów normatywnych w dziedzinach dotyczących działalności statutowej tych podmiotów,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c)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tworzenia wspólnych zespołów o charakterze doradczym i inicjatywnym,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d)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działań edukacyjno - informacyjnych,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e)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organizacji lub współorganizacji spotkań,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f)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wspierania technicznego, organizacyjnego i lokalowego podmiotów Programu,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g)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udzielania pomocy przy nawiązywaniu współpracy pomiędzy podmiotami Programu,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h)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promowania dobrego wizerunku podmiotów Programu,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i)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pośrednictwa w przekazywaniu materiałów informacyjnych i promocyjnych,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j)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umożliwiania umieszczania informacji o inicjatywach i przedsięwzięciach realizowanych przez podmioty Programu na stronie internetowej gminy i na tablicach ogłoszeń Urzędu Gminy,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k)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przekazywania podmiotom Programu informacji o możliwości pozyskiwania środków finansowych spoza budżetu gminy,</w:t>
      </w:r>
    </w:p>
    <w:p>
      <w:pPr>
        <w:pStyle w:val="Normal"/>
        <w:keepLines/>
        <w:bidi w:val="0"/>
        <w:spacing w:before="120" w:after="120"/>
        <w:ind w:left="567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l)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prowadzenie bazy danych podmiotów Programu działających lub posiadających siedzibę na terenie gminy.</w:t>
      </w:r>
    </w:p>
    <w:p>
      <w:pPr>
        <w:pStyle w:val="Normal"/>
        <w:keepNext w:val="true"/>
        <w:keepLines/>
        <w:bidi w:val="0"/>
        <w:jc w:val="center"/>
        <w:rPr>
          <w:rFonts w:ascii="Verdana" w:hAnsi="Verdan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7.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"Fundusz grantowy" jako forma wsparcia podmiotów Programu w procesie pozyskiwania pozagminnych środków finansowych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9.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 celu ułatwienia pozyskiwania przez podmioty Programu środków finansowych na projekty finansowane ze środków pozagminnych, a służących realizacji zadań gminy, wydziela się w budżecie gminy środki                                      z przeznaczeniem na wkład własny dla podmiotów Programu.</w:t>
      </w:r>
    </w:p>
    <w:p>
      <w:pPr>
        <w:pStyle w:val="Normal"/>
        <w:keepNext w:val="true"/>
        <w:keepLines/>
        <w:bidi w:val="0"/>
        <w:jc w:val="center"/>
        <w:rPr>
          <w:rFonts w:ascii="Verdana" w:hAnsi="Verdan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8.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Okres realizacji Programu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10.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Niniejszy Program realizowany będzie w okresie od 1 stycznia do 31 grudnia 2023 roku.</w:t>
      </w:r>
    </w:p>
    <w:p>
      <w:pPr>
        <w:pStyle w:val="Normal"/>
        <w:keepNext w:val="true"/>
        <w:keepLines/>
        <w:bidi w:val="0"/>
        <w:jc w:val="center"/>
        <w:rPr>
          <w:rFonts w:ascii="Verdana" w:hAnsi="Verdan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9.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Sposób realizacji Programu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11.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Zlecanie realizacji zadań publicznych podmiotom Programu odbywa się na zasadach określonych w ustawie, w trybie konkursu ofert, chyba że przepisy odrębne przewidują inny tryb zlecania zadania lub można je wykonać efektywniej w inny sposób.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Podmioty Programu mogą z własnej inicjatywy złożyć gminie ofertę realizacji zadania publicznego.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Gmina rozpatruje w trybie art.12 ustawy celowość zgłoszonych zadań publicznych, o których mowa w ust. 2 biorąc pod uwagę stopień, w jakim wniosek odpowiada priorytetowym zadaniom publicznym, zapewnienie wysokiej jakości wykonania danego zadania, dostępność środków finansowych na jego realizację oraz korzyści wynikające z realizacji tego zadania przez podmioty Programu.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Jeżeli dane zadanie można realizować efektywniej, powierzenie może nastąpić w innym trybie niż udzielenie dotacji w drodze otwartego konkursu ofert, w szczególności poprzez zakup usług na zasadach i w trybach  określonych w przepisach ustawy Prawo zamówień publicznych.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Na wniosek podmiotu Programu wójt może zlecić realizację zadania publicznego o charakterze lokalnym w trybie art. 19a ustawy.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Zadanie publiczne może być zrealizowane w ramach inicjatywy lokalnej zgodnie z zasadami wynikającymi z ustawy.</w:t>
      </w:r>
    </w:p>
    <w:p>
      <w:pPr>
        <w:pStyle w:val="Normal"/>
        <w:keepNext w:val="true"/>
        <w:keepLines/>
        <w:bidi w:val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10.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Wysokość środków finansowych planowanych na realizację Programu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12.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Na realizację Programu gmina planuje przeznaczyć środki budżetowe w wysokości </w:t>
      </w:r>
      <w:r>
        <w:rPr>
          <w:rFonts w:eastAsia="Times New Roman" w:cs="Times New Roman" w:ascii="Verdana" w:hAnsi="Verdana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1</w:t>
      </w:r>
      <w:r>
        <w:rPr>
          <w:rFonts w:eastAsia="Times New Roman" w:cs="Times New Roman" w:ascii="Verdana" w:hAnsi="Verdana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2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0 000 zł (słownie: </w:t>
      </w:r>
      <w:r>
        <w:rPr>
          <w:rFonts w:eastAsia="Times New Roman" w:cs="Times New Roman" w:ascii="Verdana" w:hAnsi="Verdana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sto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dwadzieścia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tysięcy złotych).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Ostateczną wysokość środków finansowych na realizację Programu określi rada gminy w uchwale budżetowej na 2023 rok.</w:t>
      </w:r>
    </w:p>
    <w:p>
      <w:pPr>
        <w:pStyle w:val="Normal"/>
        <w:keepNext w:val="true"/>
        <w:keepLines/>
        <w:bidi w:val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11.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Sposób oceny realizacji Programu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13.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Wójt dokonuje oceny realizacji zadań określonych w § 7 Programu na zasadach uszczegółowionych w ustawie.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Ocena Programu ma służyć współpracy z organizacjami pożytku publicznego poprzez wyeliminowanie jej słabych stron oraz powinna przyczynić się do jej doskonalenia. Będzie ona stanowić również podstawę do opracowania założeń programu współpracy z organizacjami pozarządowymi na następny rok.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Miernikami efektywności realizacji Programu będą informacje, dotyczące w szczególności: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liczby zadań publicznych zrealizowanych przez podmioty Programu,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liczby podmiotów Programu realizujących zadania publiczne na rzecz lokalnej społeczności,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liczby osób zaangażowanych w realizację zadań publicznych (w tym wolontariuszy),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liczby osób, które były adresatami różnych działań publicznych,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wysokości środków finansowych przeznaczonych z budżetu gminy na realizację Programu,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6)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łącznej wysokości środków finansowych zaangażowanych przez podmioty Programu w realizację zadań publicznych na rzecz mieszkańców gminy,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7)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liczby informacji dla podmiotów Programu zamieszczonych na stronie internetowej gminy lub przesłanych do nich za pośrednictwem poczty elektronicznej.</w:t>
      </w:r>
    </w:p>
    <w:p>
      <w:pPr>
        <w:pStyle w:val="Normal"/>
        <w:keepNext w:val="true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12.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Informacje o sposobie tworzenia Programu i o sposobie przeprowadzenia konsultacji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14.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Program powstał m.in. na bazie sprawozdania z realizacji programu współpracy z organizacjami pozarządowymi za rok 20</w:t>
      </w:r>
      <w:r>
        <w:rPr>
          <w:rFonts w:eastAsia="Times New Roman" w:cs="Times New Roman" w:ascii="Verdana" w:hAnsi="Verdana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21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 oraz programu współpracy z organizacjami pozarządowymi na rok 20</w:t>
      </w:r>
      <w:r>
        <w:rPr>
          <w:rFonts w:eastAsia="Times New Roman" w:cs="Times New Roman" w:ascii="Verdana" w:hAnsi="Verdana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22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Niniejszy Program został uchwalony po konsultacjach przeprowadzonych w sposób określony w uchwale nr XLII/41/2010 Rady Gminy Zielonki z dnia 2 września 2010 roku w sprawie konsultacji z organizacjami pozarządowymi.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Sprawozdanie dotyczące wyników konsultacji publikowane jest na stronie internetowej gminy, w zakładce "Konsultacje społeczne".</w:t>
      </w:r>
    </w:p>
    <w:p>
      <w:pPr>
        <w:pStyle w:val="Normal"/>
        <w:keepNext w:val="true"/>
        <w:keepLines/>
        <w:bidi w:val="0"/>
        <w:jc w:val="center"/>
        <w:rPr>
          <w:rFonts w:cs="Times New Roman"/>
        </w:rPr>
      </w:pPr>
      <w:r>
        <w:rPr>
          <w:rFonts w:cs="Times New Roman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13.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Tryb powoływania i zasady działania komisji konkursowych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15.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 ogłoszeniu otwartego konkursu wójt zarządzeniem powołuje komisję konkursową wraz z jej przewodniczącym i jego zastępcą.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Komisja powoływana jest w celu opiniowania i oceny ofert złożonych przez podmioty Programu w ramach ogłaszanego konkursu ofert, w rozumieniu przepisów ustawy.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Skład komisji konkursowych liczy od 3 do 5 osób, w tym: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1)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przedstawiciele wójta – 2 osoby,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przedstawiciel rady gminy – 1 osoba,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reprezentanci zgłoszeni przez podmioty Programu - od 0 do 2 osób,</w:t>
      </w:r>
    </w:p>
    <w:p>
      <w:pPr>
        <w:pStyle w:val="Normal"/>
        <w:bidi w:val="0"/>
        <w:spacing w:before="120" w:after="120"/>
        <w:ind w:left="340" w:hanging="227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4)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dodatkowo w pracach komisji mogą z głosem doradczym uczestniczyć osoby posiadające specjalistyczną wiedzę w dziedzinie obejmującej zakres zadań publicznych, których konkurs dotyczy.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 przypadku nie zgłoszenia reprezentanta przez podmioty Programu i radę gminy, komisja działa w składzie złożonym z przedstawicieli wójta.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 przypadku zgłoszenia przez podmioty Programu większej liczby reprezentantów, niż określona w ust. 3 pkt 3), wójt lub upoważniona przez niego osoba, przeprowadza losowanie spośród zgłoszonych kandydatur w celu wyboru 2 członków komisji konkursowej.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Informacja o możliwości zgłoszenia reprezentantów, o których mowa w ust. 3 pkt 3 zostanie przesłana w wersji elektronicznej do podmiotów Programu ujętych w bazie adresowej prowadzonej przez Urząd Gminy Zielonki, a także zostanie opublikowana w Biuletynie Informacji Publicznej Gminy Zielonki, na stronie internetowej gminy oraz na tablicach ogłoszeń Urzędu Gminy Zielonki.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7.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Członkowie komisji konkursowej podlegają wyłączeniom określonym w art. 15 ust. 2d lub art. 15 ust. 2f ustawy.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8.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Za pracę w komisji nie przysługuje wynagrodzenie.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16.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Przewodniczącym komisji jest przedstawiciel zgłoszony przez wójta.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Posiedzenia komisji zwołuje przewodniczący lub jego zastępca.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Zawiadomienie o posiedzeniu komisji publikowane jest na stronie internetowej gminy oraz umieszczane na tablicy ogłoszeń Urzędu Gminy Zielonki.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Obsługę administracyjno - biurową komisji prowadzą pracownicy komórki Urzędu Gminy Zielonki odpowiedzialnej za koordynację współpracy z podmiotami Programu.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Pracami komisji kieruje przewodniczący lub jego zastępca.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Komisja podejmuje rozstrzygnięcia w głosowaniu jawnym, zwykłą większością głosów, w obecności co najmniej połowy pełnego składu. W przypadku równej liczby głosów decyduje głos przewodniczącego, a w przypadku jego nieobecności, głos zastępcy przewodniczącego.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7.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Z posiedzeń komisji sporządzane są protokoły wraz z listami obecności, które są przechowywane w komórce określonej w ust. 4.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17.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Posiedzenia komisji składają się z części jawnej i zamkniętej.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 części jawnej posiedzenia komisji upubliczniana jest lista wszystkich ofert wraz z podziałem na oferty spełniające i niespełniające wymogi formalne, określone w ogłoszeniu o konkursie.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Oferenci posiadają prawo uczestnictwa wyłącznie w części jawnej posiedzenia komisji.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 trakcie trwania części zamkniętej posiedzenia komisji jej członkowie dokonują oceny merytorycznej ofert.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Pracownicy komórki Urzędu Gminy Zielonki odpowiedzialnej za koordynację współpracy z podmiotami Programu uczestniczą w części jawnej i zamkniętej posiedzenia komisji, bez prawa głosu.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18.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Zadaniem komisji konkursowej jest ocena merytoryczna ofert.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 xml:space="preserve">Ocenę merytoryczną poprzedza ocena formalna złożonych ofert, dokonywana przez komórkę Urzędu Gminy Zielonki odpowiedzialną za koordynację współpracy z podmiotami Programu lub właściwą jednostkę Gminy Zielonki. 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Ocena formalna i merytoryczna przeprowadzana jest w oparciu o kryteria określone w ogłoszeniu o otwartym konkursie ofert.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4.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Po przeprowadzonej ocenie merytorycznej ofert, komisja sporządza listy ofert, dla których rekomenduje i nie rekomenduje udzielenia dotacji.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5.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W przypadku, gdy podmiotom Programu proponuje się przekazanie dotacji w wysokości niższej, niż kwota o którą podmioty Programu wnioskowały, przed zawarciem umowy konieczne jest dokonanie uzgodnień, których celem jest doprecyzowanie warunków i zakresu realizacji zadania.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6.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Informacje o złożonych ofertach spełniających i niespełniających wymogów formalnych, jak również o odmowie lub o udzieleniu dotacji na realizację zadania publicznego będą podawane do publicznej wiadomości poprzez umieszczenie stosownej informacji na tablicy ogłoszeń Urzędu Gminy Zielonki, na stronie internetowej gminy oraz w Biuletynie Informacji Publicznej Gminy Zielonki.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19.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Zatwierdzenia wyboru najkorzystniejszych ofert dokonuje wójt w drodze zarządzenia, w oparciu o listę ofert, dla których komisja rekomendowała udzielenie dotacji.</w:t>
      </w:r>
    </w:p>
    <w:p>
      <w:pPr>
        <w:pStyle w:val="Normal"/>
        <w:keepNext w:val="true"/>
        <w:keepLines/>
        <w:bidi w:val="0"/>
        <w:jc w:val="center"/>
        <w:rPr>
          <w:rFonts w:ascii="Verdana" w:hAnsi="Verdana" w:cs="Times New Roman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</w:r>
    </w:p>
    <w:p>
      <w:pPr>
        <w:pStyle w:val="Normal"/>
        <w:bidi w:val="0"/>
        <w:jc w:val="center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>Rozdział 14.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br/>
        <w:t>Postanowienia końcowe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§ 20. 1.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Program ma charakter otwarty i stanowi zbiór norm, celów, kierunków i priorytetów regulujących praktykę współdziałania samorządu gminy z podmiotami Programu na rok 202</w:t>
      </w:r>
      <w:r>
        <w:rPr>
          <w:rFonts w:eastAsia="Times New Roman" w:cs="Times New Roman" w:ascii="Verdana" w:hAnsi="Verdana"/>
          <w:b w:val="false"/>
          <w:bCs w:val="false"/>
          <w:color w:val="000000"/>
          <w:kern w:val="2"/>
          <w:sz w:val="24"/>
          <w:szCs w:val="24"/>
          <w:lang w:val="pl-PL" w:eastAsia="zh-CN" w:bidi="hi-IN"/>
        </w:rPr>
        <w:t>3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.</w:t>
      </w:r>
    </w:p>
    <w:p>
      <w:pPr>
        <w:pStyle w:val="Normal"/>
        <w:keepLines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2.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Formy, cele, kierunki i priorytety regulujące praktykę współdziałania z organizacjami pożytku publicznego mogą ulec zmianie wraz ze zmianą warunków zewnętrznych wiążących się szczególnie z wprowadzeniem nowych rozwiązań prawnych, a także ze zmieniającą się sytuacją finansową gminy.</w:t>
      </w:r>
    </w:p>
    <w:p>
      <w:pPr>
        <w:pStyle w:val="Normal"/>
        <w:bidi w:val="0"/>
        <w:spacing w:before="120" w:after="120"/>
        <w:ind w:firstLine="340"/>
        <w:jc w:val="both"/>
        <w:rPr>
          <w:rFonts w:ascii="Verdana" w:hAnsi="Verdana"/>
          <w:b w:val="false"/>
          <w:b w:val="false"/>
          <w:bCs w:val="false"/>
          <w:sz w:val="24"/>
          <w:szCs w:val="24"/>
        </w:rPr>
      </w:pPr>
      <w:r>
        <w:rPr>
          <w:rFonts w:cs="Times New Roman" w:ascii="Verdana" w:hAnsi="Verdana"/>
          <w:b w:val="false"/>
          <w:bCs w:val="false"/>
          <w:sz w:val="24"/>
          <w:szCs w:val="24"/>
        </w:rPr>
        <w:t xml:space="preserve">3. </w:t>
      </w:r>
      <w:r>
        <w:rPr>
          <w:rFonts w:eastAsia="Times New Roman" w:cs="Times New Roman" w:ascii="Verdana" w:hAnsi="Verdana"/>
          <w:b w:val="false"/>
          <w:bCs w:val="false"/>
          <w:color w:val="000000"/>
          <w:sz w:val="24"/>
          <w:szCs w:val="24"/>
        </w:rPr>
        <w:t>Program jest otwarty na nowe rozwiązania, szczególnie wynikające z wniosków i propozycji zgłaszanych przez podmioty Programu.</w:t>
      </w:r>
    </w:p>
    <w:p>
      <w:pPr>
        <w:pStyle w:val="Normal"/>
        <w:bidi w:val="0"/>
        <w:spacing w:before="120" w:after="120"/>
        <w:ind w:hanging="0"/>
        <w:jc w:val="both"/>
        <w:rPr>
          <w:rFonts w:ascii="Verdana" w:hAnsi="Verdana" w:eastAsia="Times New Roman" w:cs="Times New Roman"/>
          <w:b w:val="false"/>
          <w:b w:val="false"/>
          <w:bCs w:val="false"/>
          <w:color w:val="C9211E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  <w:font w:name="Verdana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50"/>
  <w:defaultTabStop w:val="709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Normal0">
    <w:name w:val="Normal_0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2"/>
      <w:sz w:val="22"/>
      <w:szCs w:val="20"/>
      <w:lang w:val="pl-PL" w:eastAsia="zh-CN" w:bidi="hi-I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</TotalTime>
  <Application>LibreOffice/7.3.1.3$Windows_X86_64 LibreOffice_project/a69ca51ded25f3eefd52d7bf9a5fad8c90b87951</Application>
  <AppVersion>15.0000</AppVersion>
  <Pages>11</Pages>
  <Words>3044</Words>
  <Characters>20018</Characters>
  <CharactersWithSpaces>22902</CharactersWithSpaces>
  <Paragraphs>208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2022-11-07T10:12:06Z</dcterms:created>
  <dc:creator/>
  <dc:description/>
  <dc:language>pl-PL</dc:language>
  <cp:lastModifiedBy/>
  <dcterms:modified xsi:type="dcterms:W3CDTF">2022-11-07T11:50:56Z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